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AA" w:rsidRPr="00A86BFA" w:rsidRDefault="003C02AA" w:rsidP="003C02AA">
      <w:pPr>
        <w:jc w:val="center"/>
        <w:rPr>
          <w:rFonts w:ascii="Arial" w:hAnsi="Arial" w:cs="Arial"/>
          <w:b/>
          <w:lang w:val="fr-CA"/>
        </w:rPr>
      </w:pPr>
      <w:r w:rsidRPr="00A86BFA">
        <w:rPr>
          <w:rFonts w:ascii="Arial" w:hAnsi="Arial" w:cs="Arial"/>
          <w:b/>
          <w:lang w:val="fr-CA"/>
        </w:rPr>
        <w:t xml:space="preserve">Liste des organisations participantes </w:t>
      </w:r>
      <w:r w:rsidR="00BF411C" w:rsidRPr="00A86BFA">
        <w:rPr>
          <w:rFonts w:ascii="Arial" w:hAnsi="Arial" w:cs="Arial"/>
          <w:b/>
          <w:lang w:val="fr-CA"/>
        </w:rPr>
        <w:t>à la</w:t>
      </w:r>
      <w:r w:rsidRPr="00A86BFA">
        <w:rPr>
          <w:rFonts w:ascii="Arial" w:hAnsi="Arial" w:cs="Arial"/>
          <w:b/>
          <w:lang w:val="fr-CA"/>
        </w:rPr>
        <w:t xml:space="preserve"> Séance d'apprentissage en innovation sociale</w:t>
      </w:r>
      <w:r w:rsidR="00BF411C" w:rsidRPr="00A86BFA">
        <w:rPr>
          <w:rFonts w:ascii="Arial" w:hAnsi="Arial" w:cs="Arial"/>
          <w:b/>
          <w:lang w:val="fr-CA"/>
        </w:rPr>
        <w:t xml:space="preserve"> -</w:t>
      </w:r>
      <w:r w:rsidRPr="00A86BFA">
        <w:rPr>
          <w:rFonts w:ascii="Arial" w:hAnsi="Arial" w:cs="Arial"/>
          <w:b/>
          <w:lang w:val="fr-CA"/>
        </w:rPr>
        <w:t xml:space="preserve"> 2014</w:t>
      </w:r>
    </w:p>
    <w:p w:rsidR="00F1393A" w:rsidRPr="00A86BFA" w:rsidRDefault="003C02AA" w:rsidP="00A86BFA">
      <w:pPr>
        <w:jc w:val="center"/>
        <w:rPr>
          <w:rFonts w:ascii="Arial" w:hAnsi="Arial" w:cs="Arial"/>
          <w:b/>
        </w:rPr>
      </w:pPr>
      <w:r w:rsidRPr="00A86BFA">
        <w:rPr>
          <w:rFonts w:ascii="Arial" w:hAnsi="Arial" w:cs="Arial"/>
          <w:b/>
        </w:rPr>
        <w:t>List of Participating Organizations to</w:t>
      </w:r>
      <w:r w:rsidR="00BF411C" w:rsidRPr="00A86BFA">
        <w:rPr>
          <w:rFonts w:ascii="Arial" w:hAnsi="Arial" w:cs="Arial"/>
          <w:b/>
        </w:rPr>
        <w:t xml:space="preserve"> the </w:t>
      </w:r>
      <w:r w:rsidRPr="00A86BFA">
        <w:rPr>
          <w:rFonts w:ascii="Arial" w:hAnsi="Arial" w:cs="Arial"/>
          <w:b/>
        </w:rPr>
        <w:t>Social Innovation Learning Program</w:t>
      </w:r>
      <w:r w:rsidR="00BF411C" w:rsidRPr="00A86BFA">
        <w:rPr>
          <w:rFonts w:ascii="Arial" w:hAnsi="Arial" w:cs="Arial"/>
          <w:b/>
        </w:rPr>
        <w:t xml:space="preserve"> -</w:t>
      </w:r>
      <w:r w:rsidRPr="00A86BFA">
        <w:rPr>
          <w:rFonts w:ascii="Arial" w:hAnsi="Arial" w:cs="Arial"/>
          <w:b/>
        </w:rPr>
        <w:t xml:space="preserve"> 2014</w:t>
      </w:r>
    </w:p>
    <w:tbl>
      <w:tblPr>
        <w:tblStyle w:val="LightGrid-Accent1"/>
        <w:tblW w:w="10740" w:type="dxa"/>
        <w:tblLayout w:type="fixed"/>
        <w:tblLook w:val="04A0"/>
      </w:tblPr>
      <w:tblGrid>
        <w:gridCol w:w="1984"/>
        <w:gridCol w:w="8756"/>
      </w:tblGrid>
      <w:tr w:rsidR="00B91858" w:rsidRPr="00A86BFA" w:rsidTr="00B91858">
        <w:trPr>
          <w:cnfStyle w:val="100000000000"/>
          <w:trHeight w:val="145"/>
        </w:trPr>
        <w:tc>
          <w:tcPr>
            <w:cnfStyle w:val="001000000000"/>
            <w:tcW w:w="1984" w:type="dxa"/>
          </w:tcPr>
          <w:p w:rsidR="00B91858" w:rsidRPr="00A86BFA" w:rsidRDefault="00B91858" w:rsidP="003C02AA">
            <w:pPr>
              <w:jc w:val="center"/>
              <w:rPr>
                <w:rFonts w:ascii="Arial" w:hAnsi="Arial" w:cs="Arial"/>
                <w:color w:val="548DD4" w:themeColor="text2" w:themeTint="99"/>
              </w:rPr>
            </w:pPr>
            <w:r w:rsidRPr="00A86BFA">
              <w:rPr>
                <w:rFonts w:ascii="Arial" w:hAnsi="Arial" w:cs="Arial"/>
                <w:color w:val="548DD4" w:themeColor="text2" w:themeTint="99"/>
              </w:rPr>
              <w:t>Organization/</w:t>
            </w:r>
          </w:p>
          <w:p w:rsidR="00B91858" w:rsidRPr="00A86BFA" w:rsidRDefault="00B91858" w:rsidP="003C02AA">
            <w:pPr>
              <w:jc w:val="center"/>
              <w:rPr>
                <w:rFonts w:ascii="Arial" w:hAnsi="Arial" w:cs="Arial"/>
                <w:color w:val="548DD4" w:themeColor="text2" w:themeTint="99"/>
              </w:rPr>
            </w:pPr>
            <w:r w:rsidRPr="00A86BFA">
              <w:rPr>
                <w:rFonts w:ascii="Arial" w:hAnsi="Arial" w:cs="Arial"/>
                <w:color w:val="548DD4" w:themeColor="text2" w:themeTint="99"/>
              </w:rPr>
              <w:t>Organisation</w:t>
            </w:r>
          </w:p>
        </w:tc>
        <w:tc>
          <w:tcPr>
            <w:tcW w:w="8756" w:type="dxa"/>
          </w:tcPr>
          <w:p w:rsidR="00B91858" w:rsidRPr="00A86BFA" w:rsidRDefault="00B91858" w:rsidP="00CD6EE2">
            <w:pPr>
              <w:jc w:val="center"/>
              <w:cnfStyle w:val="100000000000"/>
              <w:rPr>
                <w:rFonts w:ascii="Arial" w:hAnsi="Arial" w:cs="Arial"/>
                <w:color w:val="548DD4" w:themeColor="text2" w:themeTint="99"/>
              </w:rPr>
            </w:pPr>
            <w:r w:rsidRPr="00A86BFA">
              <w:rPr>
                <w:rFonts w:ascii="Arial" w:hAnsi="Arial" w:cs="Arial"/>
                <w:color w:val="548DD4" w:themeColor="text2" w:themeTint="99"/>
              </w:rPr>
              <w:t>Description</w:t>
            </w:r>
          </w:p>
        </w:tc>
      </w:tr>
      <w:tr w:rsidR="00B91858" w:rsidRPr="00A86BFA" w:rsidTr="00B91858">
        <w:trPr>
          <w:cnfStyle w:val="000000100000"/>
          <w:trHeight w:val="145"/>
        </w:trPr>
        <w:tc>
          <w:tcPr>
            <w:cnfStyle w:val="001000000000"/>
            <w:tcW w:w="1984" w:type="dxa"/>
          </w:tcPr>
          <w:p w:rsidR="00B91858" w:rsidRPr="00A86BFA" w:rsidRDefault="00B91858" w:rsidP="00193843">
            <w:pPr>
              <w:rPr>
                <w:rFonts w:ascii="Arial" w:hAnsi="Arial" w:cs="Arial"/>
              </w:rPr>
            </w:pPr>
            <w:r w:rsidRPr="00A86BFA">
              <w:rPr>
                <w:rFonts w:ascii="Arial" w:hAnsi="Arial" w:cs="Arial"/>
              </w:rPr>
              <w:t>Apathy is Boring</w:t>
            </w:r>
          </w:p>
        </w:tc>
        <w:tc>
          <w:tcPr>
            <w:tcW w:w="8756" w:type="dxa"/>
          </w:tcPr>
          <w:p w:rsidR="00B91858" w:rsidRPr="00A86BFA" w:rsidRDefault="00B91858" w:rsidP="00CD6EE2">
            <w:pPr>
              <w:cnfStyle w:val="000000100000"/>
              <w:rPr>
                <w:rFonts w:ascii="Arial" w:hAnsi="Arial" w:cs="Arial"/>
              </w:rPr>
            </w:pPr>
            <w:r w:rsidRPr="00A86BFA">
              <w:rPr>
                <w:rFonts w:ascii="Arial" w:hAnsi="Arial" w:cs="Arial"/>
              </w:rPr>
              <w:t>Apathy is Boring uses art and technology to educate youth about democracy.</w:t>
            </w:r>
          </w:p>
          <w:p w:rsidR="00B91858" w:rsidRPr="00A86BFA" w:rsidRDefault="00B91858" w:rsidP="00CD6EE2">
            <w:pPr>
              <w:cnfStyle w:val="000000100000"/>
              <w:rPr>
                <w:rFonts w:ascii="Arial" w:hAnsi="Arial" w:cs="Arial"/>
              </w:rPr>
            </w:pPr>
          </w:p>
          <w:p w:rsidR="00B91858" w:rsidRPr="00A86BFA" w:rsidRDefault="00B91858" w:rsidP="00CD6EE2">
            <w:pPr>
              <w:cnfStyle w:val="000000100000"/>
              <w:rPr>
                <w:rFonts w:ascii="Arial" w:hAnsi="Arial" w:cs="Arial"/>
              </w:rPr>
            </w:pPr>
          </w:p>
        </w:tc>
      </w:tr>
      <w:tr w:rsidR="00B91858" w:rsidRPr="003165AF" w:rsidTr="00B91858">
        <w:trPr>
          <w:cnfStyle w:val="000000010000"/>
          <w:trHeight w:val="145"/>
        </w:trPr>
        <w:tc>
          <w:tcPr>
            <w:cnfStyle w:val="001000000000"/>
            <w:tcW w:w="1984" w:type="dxa"/>
          </w:tcPr>
          <w:p w:rsidR="00B91858" w:rsidRPr="00A86BFA" w:rsidRDefault="00B91858" w:rsidP="00193843">
            <w:pPr>
              <w:rPr>
                <w:rFonts w:ascii="Arial" w:hAnsi="Arial" w:cs="Arial"/>
                <w:lang w:val="fr-CA"/>
              </w:rPr>
            </w:pPr>
            <w:r w:rsidRPr="00A86BFA">
              <w:rPr>
                <w:rFonts w:ascii="Arial" w:hAnsi="Arial" w:cs="Arial"/>
                <w:lang w:val="fr-CA"/>
              </w:rPr>
              <w:t>Le Centre d'écologie urbaine de Montréal</w:t>
            </w:r>
          </w:p>
        </w:tc>
        <w:tc>
          <w:tcPr>
            <w:tcW w:w="8756" w:type="dxa"/>
          </w:tcPr>
          <w:p w:rsidR="00B91858" w:rsidRPr="003165AF" w:rsidRDefault="00B91858" w:rsidP="00CD6EE2">
            <w:pPr>
              <w:cnfStyle w:val="000000010000"/>
              <w:rPr>
                <w:rFonts w:ascii="Arial" w:hAnsi="Arial" w:cs="Arial"/>
                <w:lang w:val="fr-CA"/>
              </w:rPr>
            </w:pPr>
            <w:r w:rsidRPr="00A86BFA">
              <w:rPr>
                <w:rFonts w:ascii="Arial" w:hAnsi="Arial" w:cs="Arial"/>
                <w:lang w:val="fr-CA"/>
              </w:rPr>
              <w:t xml:space="preserve">Le Centre d'écologie urbaine de Montréal est un OBNL qui travaille dans 3 secteurs d'activité: verdissement et agriculture urbaine, aménagement et transport actif, démocratie participative et citoyenneté. </w:t>
            </w:r>
            <w:r w:rsidRPr="003165AF">
              <w:rPr>
                <w:rFonts w:ascii="Arial" w:hAnsi="Arial" w:cs="Arial"/>
                <w:lang w:val="fr-CA"/>
              </w:rPr>
              <w:t>Le CEUM compte 16 employés permanents.</w:t>
            </w:r>
          </w:p>
          <w:p w:rsidR="00B91858" w:rsidRPr="003165AF" w:rsidRDefault="00B91858" w:rsidP="00CD6EE2">
            <w:pPr>
              <w:cnfStyle w:val="000000010000"/>
              <w:rPr>
                <w:rFonts w:ascii="Arial" w:hAnsi="Arial" w:cs="Arial"/>
                <w:lang w:val="fr-CA"/>
              </w:rPr>
            </w:pPr>
          </w:p>
        </w:tc>
      </w:tr>
      <w:tr w:rsidR="00B91858" w:rsidRPr="00A86BFA" w:rsidTr="00B91858">
        <w:trPr>
          <w:cnfStyle w:val="000000100000"/>
          <w:trHeight w:val="145"/>
        </w:trPr>
        <w:tc>
          <w:tcPr>
            <w:cnfStyle w:val="001000000000"/>
            <w:tcW w:w="1984" w:type="dxa"/>
          </w:tcPr>
          <w:p w:rsidR="00B91858" w:rsidRPr="00A86BFA" w:rsidRDefault="00B91858">
            <w:pPr>
              <w:rPr>
                <w:rFonts w:ascii="Arial" w:hAnsi="Arial" w:cs="Arial"/>
              </w:rPr>
            </w:pPr>
            <w:r w:rsidRPr="00A86BFA">
              <w:rPr>
                <w:rFonts w:ascii="Arial" w:hAnsi="Arial" w:cs="Arial"/>
              </w:rPr>
              <w:t>DESTA</w:t>
            </w:r>
          </w:p>
        </w:tc>
        <w:tc>
          <w:tcPr>
            <w:tcW w:w="8756" w:type="dxa"/>
          </w:tcPr>
          <w:p w:rsidR="00B91858" w:rsidRDefault="00B91858" w:rsidP="00CD6EE2">
            <w:pPr>
              <w:cnfStyle w:val="000000100000"/>
              <w:rPr>
                <w:rFonts w:ascii="Arial" w:hAnsi="Arial" w:cs="Arial"/>
              </w:rPr>
            </w:pPr>
            <w:r w:rsidRPr="00A86BFA">
              <w:rPr>
                <w:rFonts w:ascii="Arial" w:hAnsi="Arial" w:cs="Arial"/>
              </w:rPr>
              <w:t>DESTA, the Black Youth Network, is a not-for-profit community-based organization serving marginalized youth, aged 18 to 25, primarily from the Black community in the Greater Montreal area. Our mission is to mentor marginalized youth in the areas of education, health &amp; personal development, and employment. Through our programs and services, DESTA aims to support the process of empowerment, strengthen authentic identity, and promote excellence.</w:t>
            </w:r>
          </w:p>
          <w:p w:rsidR="00B91858" w:rsidRPr="00A86BFA" w:rsidRDefault="00B91858" w:rsidP="00CD6EE2">
            <w:pPr>
              <w:cnfStyle w:val="000000100000"/>
              <w:rPr>
                <w:rFonts w:ascii="Arial" w:hAnsi="Arial" w:cs="Arial"/>
              </w:rPr>
            </w:pPr>
          </w:p>
        </w:tc>
      </w:tr>
      <w:tr w:rsidR="00B91858" w:rsidRPr="00C55D80" w:rsidTr="00B91858">
        <w:trPr>
          <w:cnfStyle w:val="000000010000"/>
          <w:trHeight w:val="145"/>
        </w:trPr>
        <w:tc>
          <w:tcPr>
            <w:cnfStyle w:val="001000000000"/>
            <w:tcW w:w="1984" w:type="dxa"/>
          </w:tcPr>
          <w:p w:rsidR="00B91858" w:rsidRPr="00A86BFA" w:rsidRDefault="00B91858" w:rsidP="00193843">
            <w:pPr>
              <w:rPr>
                <w:rFonts w:ascii="Arial" w:hAnsi="Arial" w:cs="Arial"/>
              </w:rPr>
            </w:pPr>
            <w:proofErr w:type="spellStart"/>
            <w:r w:rsidRPr="00A86BFA">
              <w:rPr>
                <w:rFonts w:ascii="Arial" w:hAnsi="Arial" w:cs="Arial"/>
              </w:rPr>
              <w:t>Exeko</w:t>
            </w:r>
            <w:proofErr w:type="spellEnd"/>
          </w:p>
        </w:tc>
        <w:tc>
          <w:tcPr>
            <w:tcW w:w="8756" w:type="dxa"/>
          </w:tcPr>
          <w:p w:rsidR="00B91858" w:rsidRPr="00A86BFA" w:rsidRDefault="00B91858" w:rsidP="00CD6EE2">
            <w:pPr>
              <w:cnfStyle w:val="000000010000"/>
              <w:rPr>
                <w:rFonts w:ascii="Arial" w:hAnsi="Arial" w:cs="Arial"/>
                <w:lang w:val="fr-CA"/>
              </w:rPr>
            </w:pPr>
            <w:proofErr w:type="spellStart"/>
            <w:r w:rsidRPr="00A86BFA">
              <w:rPr>
                <w:rFonts w:ascii="Arial" w:hAnsi="Arial" w:cs="Arial"/>
                <w:lang w:val="fr-CA"/>
              </w:rPr>
              <w:t>Exeko</w:t>
            </w:r>
            <w:proofErr w:type="spellEnd"/>
            <w:r w:rsidRPr="00A86BFA">
              <w:rPr>
                <w:rFonts w:ascii="Arial" w:hAnsi="Arial" w:cs="Arial"/>
                <w:lang w:val="fr-CA"/>
              </w:rPr>
              <w:t xml:space="preserve"> est un organisme de bienfaisance, basé à Montréal depuis 2006, dont la mission est de favoriser, par l'innovation en culture et en éducation, l’inclusion et le développement des populations les plus marginalisées.  Nous employons, en complémentarité des ressources existantes, la médiation culturelle et intellectuelle comme moteur de transformation sociale et vecteur de participation citoyenne et culturelle, persévérance scolaire, employabilité, renforcement identitaire,  acceptabilité sociale et prévention de l'exclusion (crime, suicide, toxicomanie, itinérance…).  Nous désirons outiller la liberté de choix et l’égalité de chacun et non la prédéfinir : nous travaillons à créer des ponts d’accessibilité au savoir et à la culture, par une approche créative (pensée et acte créatif) et ce, en complément et dans le respect des expertises terrain. Nous proposons aux secteurs de l’économie créative et de l’économie du savoir de s’allier au secteur social afin de contrer l’exclusion et développer au quotidien des approches personnalisées par secteur.</w:t>
            </w:r>
          </w:p>
        </w:tc>
      </w:tr>
      <w:tr w:rsidR="00B91858" w:rsidRPr="00C55D80" w:rsidTr="00B91858">
        <w:trPr>
          <w:cnfStyle w:val="000000100000"/>
          <w:trHeight w:val="145"/>
        </w:trPr>
        <w:tc>
          <w:tcPr>
            <w:cnfStyle w:val="001000000000"/>
            <w:tcW w:w="1984" w:type="dxa"/>
          </w:tcPr>
          <w:p w:rsidR="00B91858" w:rsidRPr="00A86BFA" w:rsidRDefault="00B91858" w:rsidP="00193843">
            <w:pPr>
              <w:rPr>
                <w:rFonts w:ascii="Arial" w:hAnsi="Arial" w:cs="Arial"/>
              </w:rPr>
            </w:pPr>
            <w:proofErr w:type="spellStart"/>
            <w:r w:rsidRPr="00A86BFA">
              <w:rPr>
                <w:rFonts w:ascii="Arial" w:hAnsi="Arial" w:cs="Arial"/>
              </w:rPr>
              <w:t>Fillactive</w:t>
            </w:r>
            <w:proofErr w:type="spellEnd"/>
            <w:r w:rsidRPr="00A86BFA">
              <w:rPr>
                <w:rFonts w:ascii="Arial" w:hAnsi="Arial" w:cs="Arial"/>
              </w:rPr>
              <w:t xml:space="preserve"> / </w:t>
            </w:r>
            <w:proofErr w:type="spellStart"/>
            <w:r w:rsidRPr="00A86BFA">
              <w:rPr>
                <w:rFonts w:ascii="Arial" w:hAnsi="Arial" w:cs="Arial"/>
              </w:rPr>
              <w:t>FitSpirit</w:t>
            </w:r>
            <w:proofErr w:type="spellEnd"/>
          </w:p>
          <w:p w:rsidR="00B91858" w:rsidRPr="00A86BFA" w:rsidRDefault="00B91858" w:rsidP="00193843">
            <w:pPr>
              <w:rPr>
                <w:rFonts w:ascii="Arial" w:hAnsi="Arial" w:cs="Arial"/>
              </w:rPr>
            </w:pPr>
          </w:p>
        </w:tc>
        <w:tc>
          <w:tcPr>
            <w:tcW w:w="8756" w:type="dxa"/>
          </w:tcPr>
          <w:p w:rsidR="00C55D80" w:rsidRPr="00C55D80" w:rsidRDefault="00C55D80" w:rsidP="00C55D80">
            <w:pPr>
              <w:cnfStyle w:val="000000100000"/>
              <w:rPr>
                <w:rFonts w:ascii="Arial" w:hAnsi="Arial" w:cs="Arial"/>
              </w:rPr>
            </w:pPr>
            <w:proofErr w:type="spellStart"/>
            <w:r w:rsidRPr="00C55D80">
              <w:rPr>
                <w:rFonts w:ascii="Arial" w:hAnsi="Arial" w:cs="Arial"/>
              </w:rPr>
              <w:t>Fitspirit</w:t>
            </w:r>
            <w:proofErr w:type="spellEnd"/>
            <w:r w:rsidRPr="00C55D80">
              <w:rPr>
                <w:rFonts w:ascii="Arial" w:hAnsi="Arial" w:cs="Arial"/>
              </w:rPr>
              <w:t xml:space="preserve"> is a non-profit organization whose mission is to help teenage girls discover the advantages and the enjoyment that come from taking part in physical activity in an environment that is positive, promotes a healthy self image and is open to everyone. This knowledge will allow them to develop a healthy lifestyle based on realizing their own potential.</w:t>
            </w:r>
          </w:p>
          <w:p w:rsidR="00C55D80" w:rsidRPr="00C55D80" w:rsidRDefault="00C55D80" w:rsidP="00C55D80">
            <w:pPr>
              <w:cnfStyle w:val="000000100000"/>
              <w:rPr>
                <w:rFonts w:ascii="Arial" w:hAnsi="Arial" w:cs="Arial"/>
                <w:lang w:val="fr-CA"/>
              </w:rPr>
            </w:pPr>
            <w:proofErr w:type="spellStart"/>
            <w:r w:rsidRPr="00C55D80">
              <w:rPr>
                <w:rFonts w:ascii="Arial" w:hAnsi="Arial" w:cs="Arial"/>
                <w:lang w:val="fr-CA"/>
              </w:rPr>
              <w:t>Fillactive</w:t>
            </w:r>
            <w:proofErr w:type="spellEnd"/>
            <w:r w:rsidRPr="00C55D80">
              <w:rPr>
                <w:rFonts w:ascii="Arial" w:hAnsi="Arial" w:cs="Arial"/>
                <w:lang w:val="fr-CA"/>
              </w:rPr>
              <w:t xml:space="preserve"> est une organisation non gouvernementale ayant pour mission d’aider les adolescentes à découvrir les bienfaits et le plaisir de l’activité physique dans un environnement positif, ouvert à toutes et favorisant une saine image de soi. Cette information leur permettra d’adopter un mode de vie sain fondé sur l’atteinte de leur plein épanouissement.</w:t>
            </w:r>
          </w:p>
          <w:p w:rsidR="00B91858" w:rsidRPr="00C55D80" w:rsidRDefault="00B91858" w:rsidP="00C55D80">
            <w:pPr>
              <w:cnfStyle w:val="000000100000"/>
              <w:rPr>
                <w:rFonts w:ascii="Arial" w:hAnsi="Arial" w:cs="Arial"/>
                <w:lang w:val="fr-CA"/>
              </w:rPr>
            </w:pPr>
          </w:p>
        </w:tc>
      </w:tr>
      <w:tr w:rsidR="00B91858" w:rsidRPr="00A86BFA" w:rsidTr="00B91858">
        <w:trPr>
          <w:cnfStyle w:val="000000010000"/>
          <w:trHeight w:val="145"/>
        </w:trPr>
        <w:tc>
          <w:tcPr>
            <w:cnfStyle w:val="001000000000"/>
            <w:tcW w:w="1984" w:type="dxa"/>
          </w:tcPr>
          <w:p w:rsidR="00B91858" w:rsidRPr="00A86BFA" w:rsidRDefault="00B91858" w:rsidP="00193843">
            <w:pPr>
              <w:rPr>
                <w:rFonts w:ascii="Arial" w:hAnsi="Arial" w:cs="Arial"/>
              </w:rPr>
            </w:pPr>
            <w:r w:rsidRPr="00A86BFA">
              <w:rPr>
                <w:rFonts w:ascii="Arial" w:hAnsi="Arial" w:cs="Arial"/>
              </w:rPr>
              <w:t>Jane's Walk - Tides Canada Initiatives</w:t>
            </w:r>
          </w:p>
          <w:p w:rsidR="00B91858" w:rsidRPr="00A86BFA" w:rsidRDefault="00B91858" w:rsidP="00193843">
            <w:pPr>
              <w:rPr>
                <w:rFonts w:ascii="Arial" w:hAnsi="Arial" w:cs="Arial"/>
              </w:rPr>
            </w:pPr>
          </w:p>
        </w:tc>
        <w:tc>
          <w:tcPr>
            <w:tcW w:w="8756" w:type="dxa"/>
          </w:tcPr>
          <w:p w:rsidR="00B91858" w:rsidRPr="00A86BFA" w:rsidRDefault="00B91858" w:rsidP="00CD6EE2">
            <w:pPr>
              <w:cnfStyle w:val="000000010000"/>
              <w:rPr>
                <w:rFonts w:ascii="Arial" w:hAnsi="Arial" w:cs="Arial"/>
              </w:rPr>
            </w:pPr>
            <w:r w:rsidRPr="00A86BFA">
              <w:rPr>
                <w:rStyle w:val="apple-converted-space"/>
                <w:rFonts w:ascii="Arial" w:hAnsi="Arial" w:cs="Arial"/>
                <w:color w:val="222222"/>
                <w:shd w:val="clear" w:color="auto" w:fill="FFFFFF"/>
              </w:rPr>
              <w:t> </w:t>
            </w:r>
            <w:r w:rsidRPr="00A86BFA">
              <w:rPr>
                <w:rFonts w:ascii="Arial" w:hAnsi="Arial" w:cs="Arial"/>
              </w:rPr>
              <w:t xml:space="preserve">Jane’s Walk celebrates the ideas and legacy of </w:t>
            </w:r>
            <w:proofErr w:type="spellStart"/>
            <w:r w:rsidRPr="00A86BFA">
              <w:rPr>
                <w:rFonts w:ascii="Arial" w:hAnsi="Arial" w:cs="Arial"/>
              </w:rPr>
              <w:t>urbanist</w:t>
            </w:r>
            <w:proofErr w:type="spellEnd"/>
            <w:r w:rsidRPr="00A86BFA">
              <w:rPr>
                <w:rFonts w:ascii="Arial" w:hAnsi="Arial" w:cs="Arial"/>
              </w:rPr>
              <w:t xml:space="preserve"> Jane Jacobs by getting people out exploring their </w:t>
            </w:r>
            <w:proofErr w:type="spellStart"/>
            <w:r w:rsidRPr="00A86BFA">
              <w:rPr>
                <w:rFonts w:ascii="Arial" w:hAnsi="Arial" w:cs="Arial"/>
              </w:rPr>
              <w:t>neighbourhoods</w:t>
            </w:r>
            <w:proofErr w:type="spellEnd"/>
            <w:r w:rsidRPr="00A86BFA">
              <w:rPr>
                <w:rFonts w:ascii="Arial" w:hAnsi="Arial" w:cs="Arial"/>
              </w:rPr>
              <w:t xml:space="preserve"> and meeting their </w:t>
            </w:r>
            <w:proofErr w:type="spellStart"/>
            <w:r w:rsidRPr="00A86BFA">
              <w:rPr>
                <w:rFonts w:ascii="Arial" w:hAnsi="Arial" w:cs="Arial"/>
              </w:rPr>
              <w:t>neighbours</w:t>
            </w:r>
            <w:proofErr w:type="spellEnd"/>
            <w:r w:rsidRPr="00A86BFA">
              <w:rPr>
                <w:rFonts w:ascii="Arial" w:hAnsi="Arial" w:cs="Arial"/>
              </w:rPr>
              <w:t>. Free walking tours held on the first weekend of May each year are led by locals who want to create a space for residents to talk about what matters to them in the places they live and work. Since its inception in Toronto in 2007, Jane’s Walk has expanded rapidly. In May of 2013, more than 800 walks were held in over 100 cities in 22 countries worldwide. The main Jane’s Walk event takes place annually on the first weekend of May, to coincide with Jane Jacobs’ birthday. Jane’s Walks can be organized and offered any other time of the year by enthusiastic local people or organizations, although the first weekend in May is where we focus our organizational energies and resources.</w:t>
            </w:r>
          </w:p>
          <w:p w:rsidR="00B91858" w:rsidRPr="00A86BFA" w:rsidRDefault="00B91858" w:rsidP="00CD6EE2">
            <w:pPr>
              <w:cnfStyle w:val="000000010000"/>
              <w:rPr>
                <w:rFonts w:ascii="Arial" w:hAnsi="Arial" w:cs="Arial"/>
              </w:rPr>
            </w:pPr>
          </w:p>
        </w:tc>
      </w:tr>
      <w:tr w:rsidR="00B91858" w:rsidRPr="00A86BFA" w:rsidTr="00B91858">
        <w:trPr>
          <w:cnfStyle w:val="000000100000"/>
          <w:trHeight w:val="145"/>
        </w:trPr>
        <w:tc>
          <w:tcPr>
            <w:cnfStyle w:val="001000000000"/>
            <w:tcW w:w="1984" w:type="dxa"/>
          </w:tcPr>
          <w:p w:rsidR="00B91858" w:rsidRPr="00A86BFA" w:rsidRDefault="00B91858" w:rsidP="00193843">
            <w:pPr>
              <w:rPr>
                <w:rFonts w:ascii="Arial" w:hAnsi="Arial" w:cs="Arial"/>
              </w:rPr>
            </w:pPr>
            <w:r w:rsidRPr="00A86BFA">
              <w:rPr>
                <w:rFonts w:ascii="Arial" w:hAnsi="Arial" w:cs="Arial"/>
              </w:rPr>
              <w:lastRenderedPageBreak/>
              <w:t>Open North</w:t>
            </w:r>
          </w:p>
        </w:tc>
        <w:tc>
          <w:tcPr>
            <w:tcW w:w="8756" w:type="dxa"/>
          </w:tcPr>
          <w:p w:rsidR="00B91858" w:rsidRDefault="00B91858" w:rsidP="00CD6EE2">
            <w:pPr>
              <w:cnfStyle w:val="000000100000"/>
              <w:rPr>
                <w:rFonts w:ascii="Arial" w:hAnsi="Arial" w:cs="Arial"/>
              </w:rPr>
            </w:pPr>
            <w:r w:rsidRPr="00A86BFA">
              <w:rPr>
                <w:rFonts w:ascii="Arial" w:hAnsi="Arial" w:cs="Arial"/>
              </w:rPr>
              <w:t xml:space="preserve">Open North (http://opennorth.ca/) is a Canadian nonprofit that provides digital tools for citizens and organizations to more easily access and understand government information and to influence and provide input to the government decisions that affect them. It works with governments to design new digital participatory processes, such as its consultation tool (http://citizenbudget.com/) to involve residents in the local budget-making process. It designs open government data standards that, in the case of </w:t>
            </w:r>
            <w:proofErr w:type="spellStart"/>
            <w:r w:rsidRPr="00A86BFA">
              <w:rPr>
                <w:rFonts w:ascii="Arial" w:hAnsi="Arial" w:cs="Arial"/>
              </w:rPr>
              <w:t>Popolo</w:t>
            </w:r>
            <w:proofErr w:type="spellEnd"/>
            <w:r w:rsidRPr="00A86BFA">
              <w:rPr>
                <w:rFonts w:ascii="Arial" w:hAnsi="Arial" w:cs="Arial"/>
              </w:rPr>
              <w:t xml:space="preserve"> (http://popoloproject.com/), have been adopted by major civil society organizations working in the interest of government transparency and accountability, and that, in the case of Open 511(http://open511.org/), have been co-designed and adopted by governments in the US and Canada. It maintains the largest database (http://represent.opennorth.ca/) of Canadian electoral boundaries and elected officials at all levels of government, used by nonprofits, businesses, journalists and individuals to connect citizens to representatives.</w:t>
            </w:r>
          </w:p>
          <w:p w:rsidR="00B91858" w:rsidRPr="00A86BFA" w:rsidRDefault="00B91858" w:rsidP="00CD6EE2">
            <w:pPr>
              <w:cnfStyle w:val="000000100000"/>
              <w:rPr>
                <w:rFonts w:ascii="Arial" w:hAnsi="Arial" w:cs="Arial"/>
              </w:rPr>
            </w:pPr>
          </w:p>
        </w:tc>
      </w:tr>
      <w:tr w:rsidR="00B91858" w:rsidRPr="00A86BFA" w:rsidTr="00B91858">
        <w:trPr>
          <w:cnfStyle w:val="000000010000"/>
          <w:trHeight w:val="145"/>
        </w:trPr>
        <w:tc>
          <w:tcPr>
            <w:cnfStyle w:val="001000000000"/>
            <w:tcW w:w="1984" w:type="dxa"/>
          </w:tcPr>
          <w:p w:rsidR="00B91858" w:rsidRPr="00A86BFA" w:rsidRDefault="00B91858">
            <w:pPr>
              <w:rPr>
                <w:rFonts w:ascii="Arial" w:hAnsi="Arial" w:cs="Arial"/>
              </w:rPr>
            </w:pPr>
            <w:proofErr w:type="spellStart"/>
            <w:r w:rsidRPr="00A86BFA">
              <w:rPr>
                <w:rFonts w:ascii="Arial" w:hAnsi="Arial" w:cs="Arial"/>
              </w:rPr>
              <w:t>posAbilities</w:t>
            </w:r>
            <w:proofErr w:type="spellEnd"/>
          </w:p>
        </w:tc>
        <w:tc>
          <w:tcPr>
            <w:tcW w:w="8756" w:type="dxa"/>
          </w:tcPr>
          <w:p w:rsidR="00B91858" w:rsidRDefault="00B91858" w:rsidP="00CD6EE2">
            <w:pPr>
              <w:cnfStyle w:val="000000010000"/>
              <w:rPr>
                <w:rFonts w:ascii="Arial" w:hAnsi="Arial" w:cs="Arial"/>
              </w:rPr>
            </w:pPr>
            <w:proofErr w:type="spellStart"/>
            <w:proofErr w:type="gramStart"/>
            <w:r w:rsidRPr="00A86BFA">
              <w:rPr>
                <w:rFonts w:ascii="Arial" w:hAnsi="Arial" w:cs="Arial"/>
              </w:rPr>
              <w:t>posAbilities</w:t>
            </w:r>
            <w:proofErr w:type="spellEnd"/>
            <w:proofErr w:type="gramEnd"/>
            <w:r w:rsidRPr="00A86BFA">
              <w:rPr>
                <w:rFonts w:ascii="Arial" w:hAnsi="Arial" w:cs="Arial"/>
              </w:rPr>
              <w:t xml:space="preserve"> is a large not-for-profit in Metro Vancouver that provides a broad range of services to persons with developmental disabilities and their families. In the past few years we have been trying to transform services and culture to become more community-focused and less service-focused. We have been trying to learn and apply the insights of John McKnight, Peter Block and other thinkers who emphasize that </w:t>
            </w:r>
            <w:proofErr w:type="spellStart"/>
            <w:r w:rsidRPr="00A86BFA">
              <w:rPr>
                <w:rFonts w:ascii="Arial" w:hAnsi="Arial" w:cs="Arial"/>
              </w:rPr>
              <w:t>neighbourhoods</w:t>
            </w:r>
            <w:proofErr w:type="spellEnd"/>
            <w:r w:rsidRPr="00A86BFA">
              <w:rPr>
                <w:rFonts w:ascii="Arial" w:hAnsi="Arial" w:cs="Arial"/>
              </w:rPr>
              <w:t xml:space="preserve"> and community are a sustainable foundation to a good life—not programs and services. Further, since social isolation is a problem for everyone, not just people with disabilities, we have been partnering with community to cultivate belonging for everyone. Some of our initiatives include “Can You Dig It,” which consists of over 30 gardens focused on inclusion and contribution, and “Building Caring Communities (BC Squared),” a joint initiative with other organizations to create a team of Community Connectors (about 12 people).</w:t>
            </w:r>
          </w:p>
          <w:p w:rsidR="00B91858" w:rsidRPr="00A86BFA" w:rsidRDefault="00B91858" w:rsidP="00CD6EE2">
            <w:pPr>
              <w:cnfStyle w:val="000000010000"/>
              <w:rPr>
                <w:rFonts w:ascii="Arial" w:hAnsi="Arial" w:cs="Arial"/>
              </w:rPr>
            </w:pPr>
          </w:p>
        </w:tc>
      </w:tr>
      <w:tr w:rsidR="00B91858" w:rsidRPr="00C55D80" w:rsidTr="00B91858">
        <w:trPr>
          <w:cnfStyle w:val="000000100000"/>
          <w:trHeight w:val="145"/>
        </w:trPr>
        <w:tc>
          <w:tcPr>
            <w:cnfStyle w:val="001000000000"/>
            <w:tcW w:w="1984" w:type="dxa"/>
          </w:tcPr>
          <w:p w:rsidR="00B91858" w:rsidRPr="00A86BFA" w:rsidRDefault="00B91858" w:rsidP="00193843">
            <w:pPr>
              <w:rPr>
                <w:rFonts w:ascii="Arial" w:hAnsi="Arial" w:cs="Arial"/>
              </w:rPr>
            </w:pPr>
            <w:proofErr w:type="spellStart"/>
            <w:r w:rsidRPr="00A86BFA">
              <w:rPr>
                <w:rFonts w:ascii="Arial" w:hAnsi="Arial" w:cs="Arial"/>
              </w:rPr>
              <w:t>Réseau</w:t>
            </w:r>
            <w:proofErr w:type="spellEnd"/>
            <w:r w:rsidRPr="00A86BFA">
              <w:rPr>
                <w:rFonts w:ascii="Arial" w:hAnsi="Arial" w:cs="Arial"/>
              </w:rPr>
              <w:t xml:space="preserve"> </w:t>
            </w:r>
            <w:proofErr w:type="spellStart"/>
            <w:r w:rsidRPr="00A86BFA">
              <w:rPr>
                <w:rFonts w:ascii="Arial" w:hAnsi="Arial" w:cs="Arial"/>
              </w:rPr>
              <w:t>Accorderie</w:t>
            </w:r>
            <w:proofErr w:type="spellEnd"/>
          </w:p>
        </w:tc>
        <w:tc>
          <w:tcPr>
            <w:tcW w:w="8756" w:type="dxa"/>
          </w:tcPr>
          <w:p w:rsidR="00B91858" w:rsidRDefault="00B91858" w:rsidP="00CD6EE2">
            <w:pPr>
              <w:cnfStyle w:val="000000100000"/>
              <w:rPr>
                <w:rFonts w:ascii="Arial" w:hAnsi="Arial" w:cs="Arial"/>
                <w:lang w:val="fr-CA"/>
              </w:rPr>
            </w:pPr>
            <w:r w:rsidRPr="00A86BFA">
              <w:rPr>
                <w:rFonts w:ascii="Arial" w:hAnsi="Arial" w:cs="Arial"/>
                <w:lang w:val="fr-CA"/>
              </w:rPr>
              <w:t xml:space="preserve">Le Réseau Accorderie a pour mission d’agir pour la transformation sociale en soutenant le développement des </w:t>
            </w:r>
            <w:proofErr w:type="spellStart"/>
            <w:r w:rsidRPr="00A86BFA">
              <w:rPr>
                <w:rFonts w:ascii="Arial" w:hAnsi="Arial" w:cs="Arial"/>
                <w:lang w:val="fr-CA"/>
              </w:rPr>
              <w:t>Accorderies</w:t>
            </w:r>
            <w:proofErr w:type="spellEnd"/>
            <w:r w:rsidRPr="00A86BFA">
              <w:rPr>
                <w:rFonts w:ascii="Arial" w:hAnsi="Arial" w:cs="Arial"/>
                <w:lang w:val="fr-CA"/>
              </w:rPr>
              <w:t xml:space="preserve"> actuelles et en devenir.    Pour réaliser sa mission, il représente les intérêts des </w:t>
            </w:r>
            <w:proofErr w:type="spellStart"/>
            <w:r w:rsidRPr="00A86BFA">
              <w:rPr>
                <w:rFonts w:ascii="Arial" w:hAnsi="Arial" w:cs="Arial"/>
                <w:lang w:val="fr-CA"/>
              </w:rPr>
              <w:t>Accorderies</w:t>
            </w:r>
            <w:proofErr w:type="spellEnd"/>
            <w:r w:rsidRPr="00A86BFA">
              <w:rPr>
                <w:rFonts w:ascii="Arial" w:hAnsi="Arial" w:cs="Arial"/>
                <w:lang w:val="fr-CA"/>
              </w:rPr>
              <w:t xml:space="preserve"> et défend la mission de lutte contre la pauvreté et l'exclusion sociale de ces   dernières.    Il promeut cette idée que les </w:t>
            </w:r>
            <w:proofErr w:type="spellStart"/>
            <w:r w:rsidRPr="00A86BFA">
              <w:rPr>
                <w:rFonts w:ascii="Arial" w:hAnsi="Arial" w:cs="Arial"/>
                <w:lang w:val="fr-CA"/>
              </w:rPr>
              <w:t>Accorderies</w:t>
            </w:r>
            <w:proofErr w:type="spellEnd"/>
            <w:r w:rsidRPr="00A86BFA">
              <w:rPr>
                <w:rFonts w:ascii="Arial" w:hAnsi="Arial" w:cs="Arial"/>
                <w:lang w:val="fr-CA"/>
              </w:rPr>
              <w:t xml:space="preserve"> peuvent être à la fois des acteurs économiques en   générant uniquement de la richesse humaine et des acteurs communautaires agissant pour la   solidarité sociale.</w:t>
            </w:r>
          </w:p>
          <w:p w:rsidR="00B91858" w:rsidRPr="00A86BFA" w:rsidRDefault="00B91858" w:rsidP="00CD6EE2">
            <w:pPr>
              <w:cnfStyle w:val="000000100000"/>
              <w:rPr>
                <w:rFonts w:ascii="Arial" w:hAnsi="Arial" w:cs="Arial"/>
                <w:lang w:val="fr-CA"/>
              </w:rPr>
            </w:pPr>
          </w:p>
        </w:tc>
      </w:tr>
      <w:tr w:rsidR="00B91858" w:rsidRPr="00A86BFA" w:rsidTr="00B91858">
        <w:trPr>
          <w:cnfStyle w:val="000000010000"/>
          <w:trHeight w:val="145"/>
        </w:trPr>
        <w:tc>
          <w:tcPr>
            <w:cnfStyle w:val="001000000000"/>
            <w:tcW w:w="1984" w:type="dxa"/>
          </w:tcPr>
          <w:p w:rsidR="00B91858" w:rsidRPr="00A86BFA" w:rsidRDefault="00B91858" w:rsidP="00193843">
            <w:pPr>
              <w:rPr>
                <w:rFonts w:ascii="Arial" w:hAnsi="Arial" w:cs="Arial"/>
              </w:rPr>
            </w:pPr>
            <w:r w:rsidRPr="00A86BFA">
              <w:rPr>
                <w:rFonts w:ascii="Arial" w:hAnsi="Arial" w:cs="Arial"/>
              </w:rPr>
              <w:t xml:space="preserve">La Ruche </w:t>
            </w:r>
            <w:proofErr w:type="spellStart"/>
            <w:r w:rsidRPr="00A86BFA">
              <w:rPr>
                <w:rFonts w:ascii="Arial" w:hAnsi="Arial" w:cs="Arial"/>
              </w:rPr>
              <w:t>d'Art</w:t>
            </w:r>
            <w:proofErr w:type="spellEnd"/>
          </w:p>
          <w:p w:rsidR="00B91858" w:rsidRPr="00A86BFA" w:rsidRDefault="00B91858" w:rsidP="00193843">
            <w:pPr>
              <w:rPr>
                <w:rFonts w:ascii="Arial" w:hAnsi="Arial" w:cs="Arial"/>
              </w:rPr>
            </w:pPr>
          </w:p>
        </w:tc>
        <w:tc>
          <w:tcPr>
            <w:tcW w:w="8756" w:type="dxa"/>
          </w:tcPr>
          <w:p w:rsidR="00B91858" w:rsidRDefault="00B91858" w:rsidP="00CD6EE2">
            <w:pPr>
              <w:cnfStyle w:val="000000010000"/>
              <w:rPr>
                <w:rFonts w:ascii="Arial" w:hAnsi="Arial" w:cs="Arial"/>
              </w:rPr>
            </w:pPr>
            <w:r w:rsidRPr="00A86BFA">
              <w:rPr>
                <w:rFonts w:ascii="Arial" w:hAnsi="Arial" w:cs="Arial"/>
              </w:rPr>
              <w:t xml:space="preserve">La Ruche </w:t>
            </w:r>
            <w:proofErr w:type="spellStart"/>
            <w:r w:rsidRPr="00A86BFA">
              <w:rPr>
                <w:rFonts w:ascii="Arial" w:hAnsi="Arial" w:cs="Arial"/>
              </w:rPr>
              <w:t>d'Art</w:t>
            </w:r>
            <w:proofErr w:type="spellEnd"/>
            <w:r w:rsidRPr="00A86BFA">
              <w:rPr>
                <w:rFonts w:ascii="Arial" w:hAnsi="Arial" w:cs="Arial"/>
              </w:rPr>
              <w:t xml:space="preserve"> is a small community-university arts gathering place located in Montreal. Its purpose is to offer a small, relatively un-programmed space in order to see what themes and community concerns arise. Based on this the community builds art exhibits and events to share the issues and or celebrate new traditions. It also serves as a storefront classroom to experiment with and foster new ways of thinking about service learning and social innovation.</w:t>
            </w:r>
          </w:p>
          <w:p w:rsidR="00B91858" w:rsidRPr="00A86BFA" w:rsidRDefault="00B91858" w:rsidP="00CD6EE2">
            <w:pPr>
              <w:cnfStyle w:val="000000010000"/>
              <w:rPr>
                <w:rFonts w:ascii="Arial" w:hAnsi="Arial" w:cs="Arial"/>
              </w:rPr>
            </w:pPr>
          </w:p>
        </w:tc>
      </w:tr>
      <w:tr w:rsidR="00B91858" w:rsidRPr="00A86BFA" w:rsidTr="00B91858">
        <w:trPr>
          <w:cnfStyle w:val="000000100000"/>
          <w:trHeight w:val="145"/>
        </w:trPr>
        <w:tc>
          <w:tcPr>
            <w:cnfStyle w:val="001000000000"/>
            <w:tcW w:w="1984" w:type="dxa"/>
          </w:tcPr>
          <w:p w:rsidR="00B91858" w:rsidRPr="00A86BFA" w:rsidRDefault="00B91858" w:rsidP="00193843">
            <w:pPr>
              <w:rPr>
                <w:rFonts w:ascii="Arial" w:hAnsi="Arial" w:cs="Arial"/>
              </w:rPr>
            </w:pPr>
            <w:r w:rsidRPr="00A86BFA">
              <w:rPr>
                <w:rFonts w:ascii="Arial" w:hAnsi="Arial" w:cs="Arial"/>
              </w:rPr>
              <w:t>Youth Fusion</w:t>
            </w:r>
          </w:p>
        </w:tc>
        <w:tc>
          <w:tcPr>
            <w:tcW w:w="8756" w:type="dxa"/>
          </w:tcPr>
          <w:p w:rsidR="00B91858" w:rsidRPr="00A86BFA" w:rsidRDefault="00B91858" w:rsidP="00CD6EE2">
            <w:pPr>
              <w:cnfStyle w:val="000000100000"/>
              <w:rPr>
                <w:rFonts w:ascii="Arial" w:hAnsi="Arial" w:cs="Arial"/>
              </w:rPr>
            </w:pPr>
            <w:r w:rsidRPr="00A86BFA">
              <w:rPr>
                <w:rFonts w:ascii="Arial" w:hAnsi="Arial" w:cs="Arial"/>
              </w:rPr>
              <w:t>We work to counter dropout rates, and to change the way at-risk youth learn inside and outside the classroom.   1) We establish innovative partnerships between disadvantaged schools (elementary and high schools) and universities, in an effort to lower dropout rates, and keep students interested in school while strengthening their sense of belonging.  2) The innovative formula is simple and effective: Hire university students and recent graduates as project coordinators, and send them into poorly performing schools to implement projects that engage youth in learning, both inside and outside the classroom.   3) Our programs go beyond mentoring: Project coordinators work between 15-30 hours per week in their designated school for the entire 36 weeks of the school year (a commitment of over 500 hours per coordinator).</w:t>
            </w:r>
          </w:p>
        </w:tc>
      </w:tr>
    </w:tbl>
    <w:p w:rsidR="00F1393A" w:rsidRDefault="00F1393A" w:rsidP="00411045">
      <w:pPr>
        <w:ind w:right="720"/>
      </w:pPr>
    </w:p>
    <w:sectPr w:rsidR="00F1393A" w:rsidSect="00411045">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18" w:rsidRDefault="00E60318" w:rsidP="00A86BFA">
      <w:pPr>
        <w:spacing w:after="0" w:line="240" w:lineRule="auto"/>
      </w:pPr>
      <w:r>
        <w:separator/>
      </w:r>
    </w:p>
  </w:endnote>
  <w:endnote w:type="continuationSeparator" w:id="0">
    <w:p w:rsidR="00E60318" w:rsidRDefault="00E60318" w:rsidP="00A86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285201"/>
      <w:docPartObj>
        <w:docPartGallery w:val="Page Numbers (Bottom of Page)"/>
        <w:docPartUnique/>
      </w:docPartObj>
    </w:sdtPr>
    <w:sdtContent>
      <w:sdt>
        <w:sdtPr>
          <w:id w:val="565050523"/>
          <w:docPartObj>
            <w:docPartGallery w:val="Page Numbers (Top of Page)"/>
            <w:docPartUnique/>
          </w:docPartObj>
        </w:sdtPr>
        <w:sdtContent>
          <w:p w:rsidR="00A86BFA" w:rsidRDefault="00A86BFA">
            <w:pPr>
              <w:pStyle w:val="Footer"/>
              <w:jc w:val="right"/>
            </w:pPr>
            <w:r w:rsidRPr="00A86BFA">
              <w:rPr>
                <w:sz w:val="16"/>
              </w:rPr>
              <w:t xml:space="preserve">Page </w:t>
            </w:r>
            <w:r w:rsidR="00C43E3C" w:rsidRPr="00A86BFA">
              <w:rPr>
                <w:b/>
                <w:sz w:val="18"/>
                <w:szCs w:val="24"/>
              </w:rPr>
              <w:fldChar w:fldCharType="begin"/>
            </w:r>
            <w:r w:rsidRPr="00A86BFA">
              <w:rPr>
                <w:b/>
                <w:sz w:val="16"/>
              </w:rPr>
              <w:instrText xml:space="preserve"> PAGE </w:instrText>
            </w:r>
            <w:r w:rsidR="00C43E3C" w:rsidRPr="00A86BFA">
              <w:rPr>
                <w:b/>
                <w:sz w:val="18"/>
                <w:szCs w:val="24"/>
              </w:rPr>
              <w:fldChar w:fldCharType="separate"/>
            </w:r>
            <w:r w:rsidR="00C55D80">
              <w:rPr>
                <w:b/>
                <w:noProof/>
                <w:sz w:val="16"/>
              </w:rPr>
              <w:t>1</w:t>
            </w:r>
            <w:r w:rsidR="00C43E3C" w:rsidRPr="00A86BFA">
              <w:rPr>
                <w:b/>
                <w:sz w:val="18"/>
                <w:szCs w:val="24"/>
              </w:rPr>
              <w:fldChar w:fldCharType="end"/>
            </w:r>
            <w:r w:rsidRPr="00A86BFA">
              <w:rPr>
                <w:sz w:val="16"/>
              </w:rPr>
              <w:t xml:space="preserve"> of </w:t>
            </w:r>
            <w:r w:rsidR="00C43E3C" w:rsidRPr="00A86BFA">
              <w:rPr>
                <w:b/>
                <w:sz w:val="18"/>
                <w:szCs w:val="24"/>
              </w:rPr>
              <w:fldChar w:fldCharType="begin"/>
            </w:r>
            <w:r w:rsidRPr="00A86BFA">
              <w:rPr>
                <w:b/>
                <w:sz w:val="16"/>
              </w:rPr>
              <w:instrText xml:space="preserve"> NUMPAGES  </w:instrText>
            </w:r>
            <w:r w:rsidR="00C43E3C" w:rsidRPr="00A86BFA">
              <w:rPr>
                <w:b/>
                <w:sz w:val="18"/>
                <w:szCs w:val="24"/>
              </w:rPr>
              <w:fldChar w:fldCharType="separate"/>
            </w:r>
            <w:r w:rsidR="00C55D80">
              <w:rPr>
                <w:b/>
                <w:noProof/>
                <w:sz w:val="16"/>
              </w:rPr>
              <w:t>2</w:t>
            </w:r>
            <w:r w:rsidR="00C43E3C" w:rsidRPr="00A86BFA">
              <w:rPr>
                <w:b/>
                <w:sz w:val="18"/>
                <w:szCs w:val="24"/>
              </w:rPr>
              <w:fldChar w:fldCharType="end"/>
            </w:r>
          </w:p>
        </w:sdtContent>
      </w:sdt>
    </w:sdtContent>
  </w:sdt>
  <w:p w:rsidR="00A86BFA" w:rsidRDefault="00A86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18" w:rsidRDefault="00E60318" w:rsidP="00A86BFA">
      <w:pPr>
        <w:spacing w:after="0" w:line="240" w:lineRule="auto"/>
      </w:pPr>
      <w:r>
        <w:separator/>
      </w:r>
    </w:p>
  </w:footnote>
  <w:footnote w:type="continuationSeparator" w:id="0">
    <w:p w:rsidR="00E60318" w:rsidRDefault="00E60318" w:rsidP="00A86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C1961"/>
    <w:multiLevelType w:val="hybridMultilevel"/>
    <w:tmpl w:val="8CC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393A"/>
    <w:rsid w:val="00174747"/>
    <w:rsid w:val="001D1C9E"/>
    <w:rsid w:val="003165AF"/>
    <w:rsid w:val="00346462"/>
    <w:rsid w:val="003C02AA"/>
    <w:rsid w:val="003E20CD"/>
    <w:rsid w:val="00411045"/>
    <w:rsid w:val="004436EE"/>
    <w:rsid w:val="005C0616"/>
    <w:rsid w:val="005F40E2"/>
    <w:rsid w:val="0073323D"/>
    <w:rsid w:val="007F17B3"/>
    <w:rsid w:val="009109DA"/>
    <w:rsid w:val="00A86BFA"/>
    <w:rsid w:val="00B1343E"/>
    <w:rsid w:val="00B439FE"/>
    <w:rsid w:val="00B91858"/>
    <w:rsid w:val="00BE5AC3"/>
    <w:rsid w:val="00BE6901"/>
    <w:rsid w:val="00BF411C"/>
    <w:rsid w:val="00C43E3C"/>
    <w:rsid w:val="00C55D80"/>
    <w:rsid w:val="00C57F61"/>
    <w:rsid w:val="00CA2BE5"/>
    <w:rsid w:val="00CC48C3"/>
    <w:rsid w:val="00CE1D32"/>
    <w:rsid w:val="00D137A4"/>
    <w:rsid w:val="00DC4F74"/>
    <w:rsid w:val="00E15AEF"/>
    <w:rsid w:val="00E2657C"/>
    <w:rsid w:val="00E60318"/>
    <w:rsid w:val="00E81ABC"/>
    <w:rsid w:val="00ED2E0E"/>
    <w:rsid w:val="00F1393A"/>
    <w:rsid w:val="00F63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462"/>
    <w:rPr>
      <w:color w:val="0000FF" w:themeColor="hyperlink"/>
      <w:u w:val="single"/>
    </w:rPr>
  </w:style>
  <w:style w:type="character" w:styleId="CommentReference">
    <w:name w:val="annotation reference"/>
    <w:basedOn w:val="DefaultParagraphFont"/>
    <w:uiPriority w:val="99"/>
    <w:semiHidden/>
    <w:unhideWhenUsed/>
    <w:rsid w:val="003C02AA"/>
    <w:rPr>
      <w:sz w:val="16"/>
      <w:szCs w:val="16"/>
    </w:rPr>
  </w:style>
  <w:style w:type="paragraph" w:styleId="CommentText">
    <w:name w:val="annotation text"/>
    <w:basedOn w:val="Normal"/>
    <w:link w:val="CommentTextChar"/>
    <w:uiPriority w:val="99"/>
    <w:semiHidden/>
    <w:unhideWhenUsed/>
    <w:rsid w:val="003C02AA"/>
    <w:pPr>
      <w:spacing w:line="240" w:lineRule="auto"/>
    </w:pPr>
    <w:rPr>
      <w:sz w:val="20"/>
      <w:szCs w:val="20"/>
    </w:rPr>
  </w:style>
  <w:style w:type="character" w:customStyle="1" w:styleId="CommentTextChar">
    <w:name w:val="Comment Text Char"/>
    <w:basedOn w:val="DefaultParagraphFont"/>
    <w:link w:val="CommentText"/>
    <w:uiPriority w:val="99"/>
    <w:semiHidden/>
    <w:rsid w:val="003C02AA"/>
    <w:rPr>
      <w:sz w:val="20"/>
      <w:szCs w:val="20"/>
    </w:rPr>
  </w:style>
  <w:style w:type="paragraph" w:styleId="CommentSubject">
    <w:name w:val="annotation subject"/>
    <w:basedOn w:val="CommentText"/>
    <w:next w:val="CommentText"/>
    <w:link w:val="CommentSubjectChar"/>
    <w:uiPriority w:val="99"/>
    <w:semiHidden/>
    <w:unhideWhenUsed/>
    <w:rsid w:val="003C02AA"/>
    <w:rPr>
      <w:b/>
      <w:bCs/>
    </w:rPr>
  </w:style>
  <w:style w:type="character" w:customStyle="1" w:styleId="CommentSubjectChar">
    <w:name w:val="Comment Subject Char"/>
    <w:basedOn w:val="CommentTextChar"/>
    <w:link w:val="CommentSubject"/>
    <w:uiPriority w:val="99"/>
    <w:semiHidden/>
    <w:rsid w:val="003C02AA"/>
    <w:rPr>
      <w:b/>
      <w:bCs/>
    </w:rPr>
  </w:style>
  <w:style w:type="paragraph" w:styleId="BalloonText">
    <w:name w:val="Balloon Text"/>
    <w:basedOn w:val="Normal"/>
    <w:link w:val="BalloonTextChar"/>
    <w:uiPriority w:val="99"/>
    <w:semiHidden/>
    <w:unhideWhenUsed/>
    <w:rsid w:val="003C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AA"/>
    <w:rPr>
      <w:rFonts w:ascii="Tahoma" w:hAnsi="Tahoma" w:cs="Tahoma"/>
      <w:sz w:val="16"/>
      <w:szCs w:val="16"/>
    </w:rPr>
  </w:style>
  <w:style w:type="paragraph" w:styleId="ListParagraph">
    <w:name w:val="List Paragraph"/>
    <w:basedOn w:val="Normal"/>
    <w:uiPriority w:val="34"/>
    <w:qFormat/>
    <w:rsid w:val="00B439FE"/>
    <w:pPr>
      <w:ind w:left="720"/>
      <w:contextualSpacing/>
    </w:pPr>
  </w:style>
  <w:style w:type="character" w:customStyle="1" w:styleId="apple-converted-space">
    <w:name w:val="apple-converted-space"/>
    <w:basedOn w:val="DefaultParagraphFont"/>
    <w:rsid w:val="00E81ABC"/>
  </w:style>
  <w:style w:type="table" w:styleId="LightGrid-Accent1">
    <w:name w:val="Light Grid Accent 1"/>
    <w:basedOn w:val="TableNormal"/>
    <w:uiPriority w:val="62"/>
    <w:rsid w:val="00A86B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A86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BFA"/>
  </w:style>
  <w:style w:type="paragraph" w:styleId="Footer">
    <w:name w:val="footer"/>
    <w:basedOn w:val="Normal"/>
    <w:link w:val="FooterChar"/>
    <w:uiPriority w:val="99"/>
    <w:unhideWhenUsed/>
    <w:rsid w:val="00A86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FA"/>
  </w:style>
</w:styles>
</file>

<file path=word/webSettings.xml><?xml version="1.0" encoding="utf-8"?>
<w:webSettings xmlns:r="http://schemas.openxmlformats.org/officeDocument/2006/relationships" xmlns:w="http://schemas.openxmlformats.org/wordprocessingml/2006/main">
  <w:divs>
    <w:div w:id="147409474">
      <w:bodyDiv w:val="1"/>
      <w:marLeft w:val="0"/>
      <w:marRight w:val="0"/>
      <w:marTop w:val="0"/>
      <w:marBottom w:val="0"/>
      <w:divBdr>
        <w:top w:val="none" w:sz="0" w:space="0" w:color="auto"/>
        <w:left w:val="none" w:sz="0" w:space="0" w:color="auto"/>
        <w:bottom w:val="none" w:sz="0" w:space="0" w:color="auto"/>
        <w:right w:val="none" w:sz="0" w:space="0" w:color="auto"/>
      </w:divBdr>
      <w:divsChild>
        <w:div w:id="1867211852">
          <w:marLeft w:val="0"/>
          <w:marRight w:val="0"/>
          <w:marTop w:val="0"/>
          <w:marBottom w:val="0"/>
          <w:divBdr>
            <w:top w:val="none" w:sz="0" w:space="0" w:color="auto"/>
            <w:left w:val="none" w:sz="0" w:space="0" w:color="auto"/>
            <w:bottom w:val="none" w:sz="0" w:space="0" w:color="auto"/>
            <w:right w:val="none" w:sz="0" w:space="0" w:color="auto"/>
          </w:divBdr>
        </w:div>
        <w:div w:id="1337460759">
          <w:marLeft w:val="0"/>
          <w:marRight w:val="0"/>
          <w:marTop w:val="0"/>
          <w:marBottom w:val="0"/>
          <w:divBdr>
            <w:top w:val="none" w:sz="0" w:space="0" w:color="auto"/>
            <w:left w:val="none" w:sz="0" w:space="0" w:color="auto"/>
            <w:bottom w:val="none" w:sz="0" w:space="0" w:color="auto"/>
            <w:right w:val="none" w:sz="0" w:space="0" w:color="auto"/>
          </w:divBdr>
        </w:div>
        <w:div w:id="1985112957">
          <w:marLeft w:val="0"/>
          <w:marRight w:val="0"/>
          <w:marTop w:val="0"/>
          <w:marBottom w:val="0"/>
          <w:divBdr>
            <w:top w:val="none" w:sz="0" w:space="0" w:color="auto"/>
            <w:left w:val="none" w:sz="0" w:space="0" w:color="auto"/>
            <w:bottom w:val="none" w:sz="0" w:space="0" w:color="auto"/>
            <w:right w:val="none" w:sz="0" w:space="0" w:color="auto"/>
          </w:divBdr>
        </w:div>
        <w:div w:id="994181624">
          <w:marLeft w:val="0"/>
          <w:marRight w:val="0"/>
          <w:marTop w:val="0"/>
          <w:marBottom w:val="0"/>
          <w:divBdr>
            <w:top w:val="none" w:sz="0" w:space="0" w:color="auto"/>
            <w:left w:val="none" w:sz="0" w:space="0" w:color="auto"/>
            <w:bottom w:val="none" w:sz="0" w:space="0" w:color="auto"/>
            <w:right w:val="none" w:sz="0" w:space="0" w:color="auto"/>
          </w:divBdr>
        </w:div>
      </w:divsChild>
    </w:div>
    <w:div w:id="269777686">
      <w:bodyDiv w:val="1"/>
      <w:marLeft w:val="0"/>
      <w:marRight w:val="0"/>
      <w:marTop w:val="0"/>
      <w:marBottom w:val="0"/>
      <w:divBdr>
        <w:top w:val="none" w:sz="0" w:space="0" w:color="auto"/>
        <w:left w:val="none" w:sz="0" w:space="0" w:color="auto"/>
        <w:bottom w:val="none" w:sz="0" w:space="0" w:color="auto"/>
        <w:right w:val="none" w:sz="0" w:space="0" w:color="auto"/>
      </w:divBdr>
    </w:div>
    <w:div w:id="678503960">
      <w:bodyDiv w:val="1"/>
      <w:marLeft w:val="0"/>
      <w:marRight w:val="0"/>
      <w:marTop w:val="0"/>
      <w:marBottom w:val="0"/>
      <w:divBdr>
        <w:top w:val="none" w:sz="0" w:space="0" w:color="auto"/>
        <w:left w:val="none" w:sz="0" w:space="0" w:color="auto"/>
        <w:bottom w:val="none" w:sz="0" w:space="0" w:color="auto"/>
        <w:right w:val="none" w:sz="0" w:space="0" w:color="auto"/>
      </w:divBdr>
    </w:div>
    <w:div w:id="967276737">
      <w:bodyDiv w:val="1"/>
      <w:marLeft w:val="0"/>
      <w:marRight w:val="0"/>
      <w:marTop w:val="0"/>
      <w:marBottom w:val="0"/>
      <w:divBdr>
        <w:top w:val="none" w:sz="0" w:space="0" w:color="auto"/>
        <w:left w:val="none" w:sz="0" w:space="0" w:color="auto"/>
        <w:bottom w:val="none" w:sz="0" w:space="0" w:color="auto"/>
        <w:right w:val="none" w:sz="0" w:space="0" w:color="auto"/>
      </w:divBdr>
    </w:div>
    <w:div w:id="1747460719">
      <w:bodyDiv w:val="1"/>
      <w:marLeft w:val="0"/>
      <w:marRight w:val="0"/>
      <w:marTop w:val="0"/>
      <w:marBottom w:val="0"/>
      <w:divBdr>
        <w:top w:val="none" w:sz="0" w:space="0" w:color="auto"/>
        <w:left w:val="none" w:sz="0" w:space="0" w:color="auto"/>
        <w:bottom w:val="none" w:sz="0" w:space="0" w:color="auto"/>
        <w:right w:val="none" w:sz="0" w:space="0" w:color="auto"/>
      </w:divBdr>
    </w:div>
    <w:div w:id="1943491944">
      <w:bodyDiv w:val="1"/>
      <w:marLeft w:val="0"/>
      <w:marRight w:val="0"/>
      <w:marTop w:val="0"/>
      <w:marBottom w:val="0"/>
      <w:divBdr>
        <w:top w:val="none" w:sz="0" w:space="0" w:color="auto"/>
        <w:left w:val="none" w:sz="0" w:space="0" w:color="auto"/>
        <w:bottom w:val="none" w:sz="0" w:space="0" w:color="auto"/>
        <w:right w:val="none" w:sz="0" w:space="0" w:color="auto"/>
      </w:divBdr>
    </w:div>
    <w:div w:id="2042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F95BE-4950-4AF0-8CB7-2E93811A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Chin</dc:creator>
  <cp:lastModifiedBy>riapalucci</cp:lastModifiedBy>
  <cp:revision>3</cp:revision>
  <dcterms:created xsi:type="dcterms:W3CDTF">2014-02-20T19:20:00Z</dcterms:created>
  <dcterms:modified xsi:type="dcterms:W3CDTF">2014-03-27T20:23:00Z</dcterms:modified>
</cp:coreProperties>
</file>